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95C" w:rsidRDefault="00E31F0D">
      <w:pPr>
        <w:widowControl w:val="0"/>
        <w:tabs>
          <w:tab w:val="left" w:pos="1701"/>
          <w:tab w:val="right" w:pos="9923"/>
        </w:tabs>
        <w:spacing w:before="120"/>
        <w:rPr>
          <w:rFonts w:ascii="Arial" w:eastAsia="MS Mincho" w:hAnsi="Arial"/>
          <w:b/>
          <w:sz w:val="24"/>
          <w:szCs w:val="24"/>
        </w:rPr>
      </w:pPr>
      <w:r>
        <w:rPr>
          <w:rFonts w:ascii="Arial" w:eastAsia="MS Mincho" w:hAnsi="Arial"/>
          <w:b/>
          <w:sz w:val="24"/>
          <w:szCs w:val="24"/>
        </w:rPr>
        <w:t>3GPP TSG-RAN WG2 Meeting #131bis</w:t>
      </w:r>
      <w:r>
        <w:rPr>
          <w:rFonts w:ascii="Arial" w:eastAsia="MS Mincho" w:hAnsi="Arial"/>
          <w:b/>
          <w:sz w:val="24"/>
          <w:szCs w:val="24"/>
        </w:rPr>
        <w:tab/>
        <w:t>R2-250</w:t>
      </w:r>
      <w:r w:rsidR="00525D60">
        <w:rPr>
          <w:rFonts w:ascii="Arial" w:eastAsia="MS Mincho" w:hAnsi="Arial"/>
          <w:b/>
          <w:sz w:val="24"/>
          <w:szCs w:val="24"/>
          <w:lang w:eastAsia="ja-JP"/>
        </w:rPr>
        <w:t>6882</w:t>
      </w:r>
    </w:p>
    <w:p w:rsidR="002D395C" w:rsidRDefault="00E31F0D">
      <w:pPr>
        <w:widowControl w:val="0"/>
        <w:tabs>
          <w:tab w:val="left" w:pos="1701"/>
          <w:tab w:val="right" w:pos="9923"/>
        </w:tabs>
        <w:spacing w:before="120"/>
        <w:rPr>
          <w:rFonts w:ascii="Arial" w:eastAsia="MS Mincho" w:hAnsi="Arial"/>
          <w:b/>
          <w:sz w:val="24"/>
          <w:szCs w:val="24"/>
        </w:rPr>
      </w:pPr>
      <w:r>
        <w:rPr>
          <w:rFonts w:ascii="Arial" w:eastAsia="MS Mincho" w:hAnsi="Arial"/>
          <w:b/>
          <w:sz w:val="24"/>
          <w:szCs w:val="24"/>
        </w:rPr>
        <w:t>Prague, Czech Republic, Oct. 13</w:t>
      </w:r>
      <w:r>
        <w:rPr>
          <w:rFonts w:ascii="Arial" w:eastAsia="MS Mincho" w:hAnsi="Arial"/>
          <w:b/>
          <w:sz w:val="24"/>
          <w:szCs w:val="24"/>
          <w:vertAlign w:val="superscript"/>
        </w:rPr>
        <w:t>th</w:t>
      </w:r>
      <w:r>
        <w:rPr>
          <w:rFonts w:ascii="Arial" w:eastAsia="MS Mincho" w:hAnsi="Arial"/>
          <w:b/>
          <w:sz w:val="24"/>
          <w:szCs w:val="24"/>
        </w:rPr>
        <w:t>-17</w:t>
      </w:r>
      <w:r>
        <w:rPr>
          <w:rFonts w:ascii="Arial" w:eastAsia="MS Mincho" w:hAnsi="Arial"/>
          <w:b/>
          <w:sz w:val="24"/>
          <w:szCs w:val="24"/>
          <w:vertAlign w:val="superscript"/>
        </w:rPr>
        <w:t>th</w:t>
      </w:r>
      <w:r>
        <w:rPr>
          <w:rFonts w:ascii="Arial" w:eastAsia="MS Mincho" w:hAnsi="Arial"/>
          <w:b/>
          <w:sz w:val="24"/>
          <w:szCs w:val="24"/>
        </w:rPr>
        <w:t xml:space="preserve"> </w:t>
      </w:r>
    </w:p>
    <w:p w:rsidR="002D395C" w:rsidRDefault="002D395C">
      <w:pPr>
        <w:tabs>
          <w:tab w:val="left" w:pos="1701"/>
          <w:tab w:val="right" w:pos="9639"/>
        </w:tabs>
        <w:spacing w:before="80" w:after="240" w:line="240" w:lineRule="auto"/>
        <w:jc w:val="left"/>
        <w:textAlignment w:val="auto"/>
        <w:rPr>
          <w:rFonts w:eastAsia="MS Mincho" w:cs="Arial"/>
          <w:b/>
          <w:sz w:val="24"/>
          <w:szCs w:val="24"/>
          <w:lang w:val="en-GB" w:eastAsia="en-US"/>
        </w:rPr>
      </w:pPr>
    </w:p>
    <w:p w:rsidR="002D395C" w:rsidRDefault="00E31F0D">
      <w:pPr>
        <w:tabs>
          <w:tab w:val="left" w:pos="1985"/>
        </w:tabs>
        <w:spacing w:line="240" w:lineRule="auto"/>
        <w:textAlignment w:val="auto"/>
        <w:rPr>
          <w:rFonts w:ascii="Arial" w:hAnsi="Arial" w:cs="Arial"/>
          <w:b/>
        </w:rPr>
      </w:pPr>
      <w:r>
        <w:rPr>
          <w:rFonts w:ascii="Arial" w:eastAsia="Times New Roman" w:hAnsi="Arial" w:cs="Arial"/>
          <w:b/>
          <w:lang w:val="en-GB" w:eastAsia="en-US"/>
        </w:rPr>
        <w:t xml:space="preserve">Source: </w:t>
      </w:r>
      <w:r>
        <w:rPr>
          <w:rFonts w:ascii="Arial" w:eastAsia="Times New Roman" w:hAnsi="Arial" w:cs="Arial"/>
          <w:b/>
          <w:lang w:val="en-GB" w:eastAsia="en-US"/>
        </w:rPr>
        <w:tab/>
      </w:r>
      <w:r>
        <w:rPr>
          <w:rFonts w:ascii="Arial" w:hAnsi="Arial" w:cs="Arial" w:hint="eastAsia"/>
        </w:rPr>
        <w:t>China Telecom</w:t>
      </w:r>
    </w:p>
    <w:p w:rsidR="002D395C" w:rsidRDefault="00E31F0D">
      <w:pPr>
        <w:spacing w:line="240" w:lineRule="auto"/>
        <w:ind w:left="1985" w:hanging="1985"/>
        <w:jc w:val="left"/>
        <w:textAlignment w:val="auto"/>
        <w:rPr>
          <w:rFonts w:ascii="Arial" w:hAnsi="Arial" w:cs="Arial"/>
          <w:lang w:val="en-GB"/>
        </w:rPr>
      </w:pPr>
      <w:r>
        <w:rPr>
          <w:rFonts w:ascii="Arial" w:eastAsia="Times New Roman" w:hAnsi="Arial" w:cs="Arial"/>
          <w:b/>
          <w:lang w:val="en-GB" w:eastAsia="en-US"/>
        </w:rPr>
        <w:t>Title:</w:t>
      </w:r>
      <w:r>
        <w:rPr>
          <w:rFonts w:ascii="Arial" w:eastAsia="Times New Roman" w:hAnsi="Arial" w:cs="Arial"/>
          <w:lang w:val="en-GB" w:eastAsia="en-US"/>
        </w:rPr>
        <w:t xml:space="preserve"> </w:t>
      </w:r>
      <w:r>
        <w:rPr>
          <w:rFonts w:ascii="Arial" w:eastAsia="Times New Roman" w:hAnsi="Arial" w:cs="Arial"/>
          <w:lang w:val="en-GB" w:eastAsia="en-US"/>
        </w:rPr>
        <w:tab/>
      </w:r>
      <w:r>
        <w:rPr>
          <w:rFonts w:ascii="Arial" w:hAnsi="Arial" w:cs="Arial" w:hint="eastAsia"/>
          <w:lang w:val="en-GB"/>
        </w:rPr>
        <w:t>Discussion of NB-IoT voice over GEO</w:t>
      </w:r>
    </w:p>
    <w:p w:rsidR="002D395C" w:rsidRDefault="00E31F0D">
      <w:pPr>
        <w:tabs>
          <w:tab w:val="left" w:pos="1985"/>
        </w:tabs>
        <w:spacing w:line="240" w:lineRule="auto"/>
        <w:textAlignment w:val="auto"/>
        <w:rPr>
          <w:rFonts w:ascii="Arial" w:hAnsi="Arial" w:cs="Arial"/>
        </w:rPr>
      </w:pPr>
      <w:r>
        <w:rPr>
          <w:rFonts w:ascii="Arial" w:eastAsia="Times New Roman" w:hAnsi="Arial" w:cs="Arial"/>
          <w:b/>
          <w:lang w:val="en-GB" w:eastAsia="en-US"/>
        </w:rPr>
        <w:t>Agen</w:t>
      </w:r>
      <w:r>
        <w:rPr>
          <w:rFonts w:ascii="Arial" w:hAnsi="Arial" w:cs="Arial"/>
          <w:b/>
          <w:lang w:val="en-GB"/>
        </w:rPr>
        <w:t>d</w:t>
      </w:r>
      <w:r>
        <w:rPr>
          <w:rFonts w:ascii="Arial" w:eastAsia="Times New Roman" w:hAnsi="Arial" w:cs="Arial"/>
          <w:b/>
          <w:lang w:val="en-GB" w:eastAsia="en-US"/>
        </w:rPr>
        <w:t>a Item:</w:t>
      </w:r>
      <w:r>
        <w:rPr>
          <w:rFonts w:ascii="Arial" w:eastAsia="Times New Roman" w:hAnsi="Arial" w:cs="Arial"/>
          <w:lang w:val="en-GB" w:eastAsia="en-US"/>
        </w:rPr>
        <w:tab/>
        <w:t>9.</w:t>
      </w:r>
      <w:r>
        <w:rPr>
          <w:rFonts w:ascii="Arial" w:hAnsi="Arial" w:cs="Arial" w:hint="eastAsia"/>
        </w:rPr>
        <w:t>7.2</w:t>
      </w:r>
    </w:p>
    <w:p w:rsidR="002D395C" w:rsidRDefault="00E31F0D">
      <w:pPr>
        <w:tabs>
          <w:tab w:val="left" w:pos="1985"/>
        </w:tabs>
        <w:spacing w:line="240" w:lineRule="auto"/>
        <w:textAlignment w:val="auto"/>
        <w:rPr>
          <w:rFonts w:ascii="Arial" w:hAnsi="Arial" w:cs="Arial"/>
          <w:lang w:val="en-GB"/>
        </w:rPr>
      </w:pPr>
      <w:r>
        <w:rPr>
          <w:rFonts w:ascii="Arial" w:eastAsia="Times New Roman" w:hAnsi="Arial" w:cs="Arial"/>
          <w:b/>
          <w:lang w:val="en-GB" w:eastAsia="en-US"/>
        </w:rPr>
        <w:t>Document for:</w:t>
      </w:r>
      <w:r>
        <w:rPr>
          <w:rFonts w:ascii="Arial" w:eastAsia="Times New Roman" w:hAnsi="Arial" w:cs="Arial"/>
          <w:lang w:val="en-GB" w:eastAsia="en-US"/>
        </w:rPr>
        <w:tab/>
      </w:r>
      <w:r>
        <w:rPr>
          <w:rFonts w:ascii="Arial" w:hAnsi="Arial" w:cs="Arial"/>
          <w:lang w:val="en-GB"/>
        </w:rPr>
        <w:t>Discussion and decision</w:t>
      </w:r>
    </w:p>
    <w:p w:rsidR="002D395C" w:rsidRDefault="00E31F0D">
      <w:pPr>
        <w:pStyle w:val="1"/>
        <w:keepLines/>
        <w:numPr>
          <w:ilvl w:val="0"/>
          <w:numId w:val="4"/>
        </w:numPr>
        <w:pBdr>
          <w:top w:val="single" w:sz="12" w:space="3" w:color="auto"/>
        </w:pBdr>
        <w:overflowPunct w:val="0"/>
        <w:autoSpaceDE w:val="0"/>
        <w:autoSpaceDN w:val="0"/>
        <w:adjustRightInd w:val="0"/>
        <w:spacing w:after="180"/>
        <w:jc w:val="left"/>
        <w:textAlignment w:val="baseline"/>
      </w:pPr>
      <w:r>
        <w:t>Introduction</w:t>
      </w:r>
    </w:p>
    <w:p w:rsidR="002D395C" w:rsidRPr="00525D60" w:rsidRDefault="00E31F0D">
      <w:pPr>
        <w:spacing w:after="0" w:line="240" w:lineRule="auto"/>
        <w:jc w:val="left"/>
        <w:rPr>
          <w:rFonts w:eastAsia="等线"/>
          <w:bCs/>
          <w:szCs w:val="22"/>
          <w:lang w:val="en-GB" w:eastAsia="en-GB"/>
        </w:rPr>
      </w:pPr>
      <w:r w:rsidRPr="00525D60">
        <w:rPr>
          <w:rFonts w:eastAsiaTheme="minorEastAsia"/>
          <w:szCs w:val="22"/>
        </w:rPr>
        <w:t xml:space="preserve">The WID </w:t>
      </w:r>
      <w:r w:rsidRPr="00525D60">
        <w:rPr>
          <w:rFonts w:eastAsiaTheme="minorEastAsia" w:hint="eastAsia"/>
          <w:szCs w:val="22"/>
        </w:rPr>
        <w:t xml:space="preserve">of R20 IoT NTN has approved in RAN#108 meeting. </w:t>
      </w:r>
      <w:r w:rsidRPr="00525D60">
        <w:rPr>
          <w:rFonts w:eastAsia="等线"/>
          <w:bCs/>
          <w:szCs w:val="22"/>
          <w:lang w:val="en-GB" w:eastAsia="en-GB"/>
        </w:rPr>
        <w:t>The aim of this work item is to specify the enhancement of NB-IoT-NTN to support IMS voice call over GSO with the following objectives:</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Down-select between CP and UP solutions for voice support over NB-IoT-NT</w:t>
      </w:r>
      <w:r w:rsidRPr="00525D60">
        <w:rPr>
          <w:szCs w:val="22"/>
          <w:lang w:val="en-GB" w:eastAsia="en-GB"/>
        </w:rPr>
        <w:t>N until RAN#110 [RAN2]</w:t>
      </w:r>
    </w:p>
    <w:p w:rsidR="002D395C" w:rsidRPr="00525D60" w:rsidRDefault="00E31F0D">
      <w:pPr>
        <w:widowControl w:val="0"/>
        <w:numPr>
          <w:ilvl w:val="1"/>
          <w:numId w:val="6"/>
        </w:numPr>
        <w:overflowPunct/>
        <w:autoSpaceDE/>
        <w:autoSpaceDN/>
        <w:adjustRightInd/>
        <w:spacing w:beforeLines="50" w:before="156" w:afterLines="50" w:after="156"/>
        <w:ind w:left="720" w:hanging="357"/>
        <w:contextualSpacing/>
        <w:textAlignment w:val="auto"/>
        <w:rPr>
          <w:szCs w:val="22"/>
          <w:lang w:val="en-GB" w:eastAsia="en-GB"/>
        </w:rPr>
      </w:pPr>
      <w:r w:rsidRPr="00525D60">
        <w:rPr>
          <w:rFonts w:eastAsia="等线"/>
          <w:szCs w:val="22"/>
          <w:lang w:val="en-GB"/>
        </w:rPr>
        <w:t>Coordination with SA is required</w:t>
      </w:r>
    </w:p>
    <w:p w:rsidR="002D395C" w:rsidRPr="00525D60" w:rsidRDefault="00E31F0D">
      <w:pPr>
        <w:widowControl w:val="0"/>
        <w:numPr>
          <w:ilvl w:val="1"/>
          <w:numId w:val="6"/>
        </w:numPr>
        <w:overflowPunct/>
        <w:autoSpaceDE/>
        <w:autoSpaceDN/>
        <w:adjustRightInd/>
        <w:spacing w:beforeLines="50" w:before="156" w:afterLines="50" w:after="156"/>
        <w:ind w:left="720" w:hanging="357"/>
        <w:contextualSpacing/>
        <w:textAlignment w:val="auto"/>
        <w:rPr>
          <w:szCs w:val="22"/>
          <w:lang w:val="en-GB" w:eastAsia="en-GB"/>
        </w:rPr>
      </w:pPr>
      <w:r w:rsidRPr="00525D60">
        <w:rPr>
          <w:rFonts w:eastAsia="等线" w:hint="eastAsia"/>
          <w:szCs w:val="22"/>
          <w:lang w:val="en-GB"/>
        </w:rPr>
        <w:t>T</w:t>
      </w:r>
      <w:r w:rsidRPr="00525D60">
        <w:rPr>
          <w:rFonts w:eastAsia="等线"/>
          <w:szCs w:val="22"/>
          <w:lang w:val="en-GB"/>
        </w:rPr>
        <w:t xml:space="preserve">he objective can be updated with further details based on the outcome of the above down-selection </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i/>
          <w:iCs/>
          <w:color w:val="000000"/>
          <w:szCs w:val="22"/>
          <w:lang w:val="en-GB"/>
        </w:rPr>
      </w:pPr>
      <w:r w:rsidRPr="00525D60">
        <w:rPr>
          <w:szCs w:val="22"/>
          <w:lang w:val="en-GB" w:eastAsia="en-GB"/>
        </w:rPr>
        <w:t xml:space="preserve">Support of semi-persistent scheduling for NB-IoT-NTN for DL and UL data transmission for voice </w:t>
      </w:r>
      <w:r w:rsidRPr="00525D60">
        <w:rPr>
          <w:szCs w:val="22"/>
          <w:lang w:val="en-GB" w:eastAsia="en-GB"/>
        </w:rPr>
        <w:t>packets [RAN2, RAN1]</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 xml:space="preserve">Support of necessary modifications to RRC connection setup procedure for NB-IoT-NTN [RAN2]  </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Support of necessary modifications for emergency call for voice over NB-IoT-NTN [RAN2]</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Study and if feasible, specify UE transmit power higher</w:t>
      </w:r>
      <w:r w:rsidRPr="00525D60">
        <w:rPr>
          <w:szCs w:val="22"/>
          <w:lang w:val="en-GB" w:eastAsia="en-GB"/>
        </w:rPr>
        <w:t xml:space="preserve"> than PC1 (e.g. up to 37dBm) for NB-IoT-NTN [RAN4] </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 xml:space="preserve">Note: The enhancements to support </w:t>
      </w:r>
      <w:r w:rsidRPr="00525D60">
        <w:rPr>
          <w:rFonts w:eastAsia="等线"/>
          <w:szCs w:val="22"/>
          <w:lang w:val="en-GB"/>
        </w:rPr>
        <w:t>voice over NB-IoT-NTN via GSO in this work item may be also applicable</w:t>
      </w:r>
      <w:r w:rsidRPr="00525D60">
        <w:rPr>
          <w:szCs w:val="22"/>
          <w:lang w:val="en-GB" w:eastAsia="en-GB"/>
        </w:rPr>
        <w:t xml:space="preserve"> to NGSO cases without additional specification enhancements</w:t>
      </w:r>
    </w:p>
    <w:p w:rsidR="002D395C" w:rsidRPr="00525D60" w:rsidRDefault="00E31F0D">
      <w:pPr>
        <w:widowControl w:val="0"/>
        <w:numPr>
          <w:ilvl w:val="0"/>
          <w:numId w:val="6"/>
        </w:numPr>
        <w:overflowPunct/>
        <w:autoSpaceDE/>
        <w:autoSpaceDN/>
        <w:adjustRightInd/>
        <w:spacing w:beforeLines="50" w:before="156" w:afterLines="50" w:after="156"/>
        <w:ind w:hanging="357"/>
        <w:contextualSpacing/>
        <w:textAlignment w:val="auto"/>
        <w:rPr>
          <w:szCs w:val="22"/>
          <w:lang w:val="en-GB" w:eastAsia="en-GB"/>
        </w:rPr>
      </w:pPr>
      <w:r w:rsidRPr="00525D60">
        <w:rPr>
          <w:szCs w:val="22"/>
          <w:lang w:val="en-GB" w:eastAsia="en-GB"/>
        </w:rPr>
        <w:t>Note: Coordination with SA4 is expected</w:t>
      </w:r>
    </w:p>
    <w:p w:rsidR="002D395C" w:rsidRPr="00525D60" w:rsidRDefault="00E31F0D">
      <w:pPr>
        <w:pStyle w:val="B1"/>
        <w:spacing w:before="312"/>
        <w:ind w:left="0" w:firstLine="0"/>
        <w:rPr>
          <w:rFonts w:eastAsia="宋体"/>
          <w:sz w:val="22"/>
          <w:szCs w:val="22"/>
          <w:lang w:val="en-US" w:eastAsia="zh-CN"/>
        </w:rPr>
      </w:pPr>
      <w:r w:rsidRPr="00525D60">
        <w:rPr>
          <w:rFonts w:eastAsia="宋体"/>
          <w:sz w:val="22"/>
          <w:szCs w:val="22"/>
          <w:lang w:val="en-US" w:eastAsia="zh-CN"/>
        </w:rPr>
        <w:t xml:space="preserve">In this contribution, we provide our consideration on </w:t>
      </w:r>
      <w:r w:rsidRPr="00525D60">
        <w:rPr>
          <w:rFonts w:eastAsia="宋体" w:hint="eastAsia"/>
          <w:sz w:val="22"/>
          <w:szCs w:val="22"/>
          <w:lang w:val="en-US" w:eastAsia="zh-CN"/>
        </w:rPr>
        <w:t>CP and UP solutions for this WI</w:t>
      </w:r>
      <w:r w:rsidRPr="00525D60">
        <w:rPr>
          <w:rFonts w:eastAsia="宋体"/>
          <w:sz w:val="22"/>
          <w:szCs w:val="22"/>
          <w:lang w:val="en-US" w:eastAsia="zh-CN"/>
        </w:rPr>
        <w:t>.</w:t>
      </w:r>
    </w:p>
    <w:p w:rsidR="002D395C" w:rsidRDefault="00E31F0D">
      <w:pPr>
        <w:pStyle w:val="1"/>
        <w:keepLines/>
        <w:numPr>
          <w:ilvl w:val="0"/>
          <w:numId w:val="4"/>
        </w:numPr>
        <w:pBdr>
          <w:top w:val="single" w:sz="12" w:space="4" w:color="auto"/>
        </w:pBdr>
        <w:overflowPunct w:val="0"/>
        <w:autoSpaceDE w:val="0"/>
        <w:autoSpaceDN w:val="0"/>
        <w:adjustRightInd w:val="0"/>
        <w:spacing w:after="180"/>
        <w:jc w:val="left"/>
        <w:textAlignment w:val="baseline"/>
      </w:pPr>
      <w:r>
        <w:t>Discussion</w:t>
      </w:r>
      <w:bookmarkStart w:id="0" w:name="OLE_LINK140"/>
      <w:bookmarkStart w:id="1" w:name="OLE_LINK139"/>
    </w:p>
    <w:p w:rsidR="002D395C" w:rsidRPr="00DE6AEC" w:rsidRDefault="00E31F0D">
      <w:pPr>
        <w:rPr>
          <w:iCs/>
          <w:kern w:val="2"/>
          <w:szCs w:val="22"/>
        </w:rPr>
      </w:pPr>
      <w:r w:rsidRPr="00DE6AEC">
        <w:rPr>
          <w:szCs w:val="22"/>
        </w:rPr>
        <w:t xml:space="preserve">For NB-IoT, </w:t>
      </w:r>
      <w:r w:rsidRPr="00DE6AEC">
        <w:rPr>
          <w:rFonts w:hint="eastAsia"/>
          <w:szCs w:val="22"/>
        </w:rPr>
        <w:t>both CP and UP solution exist for data transmission.</w:t>
      </w:r>
      <w:r w:rsidRPr="00DE6AEC">
        <w:rPr>
          <w:szCs w:val="22"/>
        </w:rPr>
        <w:t xml:space="preserve"> As discussed in </w:t>
      </w:r>
      <w:r w:rsidRPr="00DE6AEC">
        <w:rPr>
          <w:rFonts w:hint="eastAsia"/>
          <w:szCs w:val="22"/>
        </w:rPr>
        <w:t>previous meetings</w:t>
      </w:r>
      <w:r w:rsidRPr="00DE6AEC">
        <w:rPr>
          <w:szCs w:val="22"/>
        </w:rPr>
        <w:t xml:space="preserve">, </w:t>
      </w:r>
      <w:r w:rsidRPr="00DE6AEC">
        <w:rPr>
          <w:rFonts w:hint="eastAsia"/>
          <w:szCs w:val="22"/>
        </w:rPr>
        <w:t xml:space="preserve">the </w:t>
      </w:r>
      <w:r w:rsidRPr="00DE6AEC">
        <w:rPr>
          <w:szCs w:val="22"/>
        </w:rPr>
        <w:t>select</w:t>
      </w:r>
      <w:r w:rsidRPr="00DE6AEC">
        <w:rPr>
          <w:rFonts w:hint="eastAsia"/>
          <w:szCs w:val="22"/>
        </w:rPr>
        <w:t>ion</w:t>
      </w:r>
      <w:r w:rsidRPr="00DE6AEC">
        <w:rPr>
          <w:szCs w:val="22"/>
        </w:rPr>
        <w:t xml:space="preserve"> between these two options</w:t>
      </w:r>
      <w:r w:rsidRPr="00DE6AEC">
        <w:rPr>
          <w:rFonts w:hint="eastAsia"/>
          <w:szCs w:val="22"/>
        </w:rPr>
        <w:t xml:space="preserve"> does not converge</w:t>
      </w:r>
      <w:r w:rsidRPr="00DE6AEC">
        <w:rPr>
          <w:szCs w:val="22"/>
        </w:rPr>
        <w:t xml:space="preserve">. </w:t>
      </w:r>
      <w:r w:rsidRPr="00DE6AEC">
        <w:rPr>
          <w:rFonts w:hint="eastAsia"/>
          <w:szCs w:val="22"/>
        </w:rPr>
        <w:t>For CP solution, it is simple for implementation</w:t>
      </w:r>
      <w:r w:rsidRPr="00DE6AEC">
        <w:rPr>
          <w:szCs w:val="22"/>
        </w:rPr>
        <w:t>.</w:t>
      </w:r>
      <w:r w:rsidRPr="00DE6AEC">
        <w:rPr>
          <w:rFonts w:hint="eastAsia"/>
          <w:szCs w:val="22"/>
        </w:rPr>
        <w:t xml:space="preserve"> According to TS 36.331, </w:t>
      </w:r>
      <w:r w:rsidRPr="00DE6AEC">
        <w:rPr>
          <w:rFonts w:eastAsia="Times New Roman"/>
          <w:szCs w:val="22"/>
          <w:lang w:bidi="ar"/>
        </w:rPr>
        <w:t xml:space="preserve">A NB-IoT UE that only supports the Control Plane CIoT EPS optimisation (see TS </w:t>
      </w:r>
      <w:r w:rsidRPr="00DE6AEC">
        <w:rPr>
          <w:rFonts w:eastAsia="Times New Roman"/>
          <w:szCs w:val="22"/>
          <w:lang w:bidi="ar"/>
        </w:rPr>
        <w:lastRenderedPageBreak/>
        <w:t xml:space="preserve">24.301) or the Control Plane CIoT 5GS optimisation (see TS 24.501) does not need to support any DRBs </w:t>
      </w:r>
      <w:r w:rsidRPr="00DE6AEC">
        <w:rPr>
          <w:rFonts w:eastAsia="Times New Roman"/>
          <w:szCs w:val="22"/>
          <w:lang w:bidi="ar"/>
        </w:rPr>
        <w:t>and associated procedures.</w:t>
      </w:r>
      <w:r w:rsidRPr="00DE6AEC">
        <w:rPr>
          <w:rFonts w:hint="eastAsia"/>
          <w:szCs w:val="22"/>
          <w:lang w:bidi="ar"/>
        </w:rPr>
        <w:t xml:space="preserve"> SRB1bis is used for NAS message transmission.  </w:t>
      </w:r>
    </w:p>
    <w:p w:rsidR="002D395C" w:rsidRPr="00DE6AEC" w:rsidRDefault="00E31F0D">
      <w:pPr>
        <w:spacing w:line="240" w:lineRule="auto"/>
        <w:jc w:val="left"/>
        <w:rPr>
          <w:rFonts w:eastAsiaTheme="minorEastAsia"/>
          <w:b/>
          <w:szCs w:val="22"/>
        </w:rPr>
      </w:pPr>
      <w:r w:rsidRPr="00DE6AEC">
        <w:rPr>
          <w:rFonts w:eastAsiaTheme="minorEastAsia" w:hint="eastAsia"/>
          <w:b/>
          <w:szCs w:val="22"/>
        </w:rPr>
        <w:t>Observation</w:t>
      </w:r>
      <w:r w:rsidRPr="00DE6AEC">
        <w:rPr>
          <w:rFonts w:eastAsiaTheme="minorEastAsia"/>
          <w:b/>
          <w:szCs w:val="22"/>
        </w:rPr>
        <w:t xml:space="preserve"> 1: </w:t>
      </w:r>
      <w:r w:rsidRPr="00DE6AEC">
        <w:rPr>
          <w:rFonts w:eastAsiaTheme="minorEastAsia" w:hint="eastAsia"/>
          <w:b/>
          <w:szCs w:val="22"/>
        </w:rPr>
        <w:t>CP solution is simple for implementation</w:t>
      </w:r>
      <w:r w:rsidRPr="00DE6AEC">
        <w:rPr>
          <w:rFonts w:eastAsiaTheme="minorEastAsia"/>
          <w:b/>
          <w:szCs w:val="22"/>
        </w:rPr>
        <w:t xml:space="preserve">. </w:t>
      </w:r>
    </w:p>
    <w:p w:rsidR="002D395C" w:rsidRPr="00DE6AEC" w:rsidRDefault="00E31F0D">
      <w:pPr>
        <w:spacing w:line="240" w:lineRule="auto"/>
        <w:jc w:val="left"/>
        <w:rPr>
          <w:iCs/>
          <w:kern w:val="2"/>
          <w:szCs w:val="22"/>
        </w:rPr>
      </w:pPr>
      <w:r w:rsidRPr="00DE6AEC">
        <w:rPr>
          <w:rFonts w:hint="eastAsia"/>
          <w:iCs/>
          <w:kern w:val="2"/>
          <w:szCs w:val="22"/>
        </w:rPr>
        <w:t>For supporting NB-IoT voice over GEO, it is more challenge for legacy NB-IoT CP solutions</w:t>
      </w:r>
      <w:r w:rsidRPr="00DE6AEC">
        <w:rPr>
          <w:iCs/>
          <w:kern w:val="2"/>
          <w:szCs w:val="22"/>
        </w:rPr>
        <w:t>.</w:t>
      </w:r>
      <w:r w:rsidRPr="00DE6AEC">
        <w:rPr>
          <w:rFonts w:hint="eastAsia"/>
          <w:iCs/>
          <w:kern w:val="2"/>
          <w:szCs w:val="22"/>
        </w:rPr>
        <w:t xml:space="preserve"> First, it is a real time service</w:t>
      </w:r>
      <w:r w:rsidRPr="00DE6AEC">
        <w:rPr>
          <w:rFonts w:hint="eastAsia"/>
          <w:iCs/>
          <w:kern w:val="2"/>
          <w:szCs w:val="22"/>
        </w:rPr>
        <w:t>. The data rate and delay needs to be guaranteed. However, there is no QoS management for SRB. Another problem is the efficiency of scheduling. The voice date packets arrive periodically. For overhead reduction, SPS is needed for semi-persistent scheduling</w:t>
      </w:r>
      <w:r w:rsidRPr="00DE6AEC">
        <w:rPr>
          <w:rFonts w:hint="eastAsia"/>
          <w:iCs/>
          <w:kern w:val="2"/>
          <w:szCs w:val="22"/>
        </w:rPr>
        <w:t xml:space="preserve">.   </w:t>
      </w:r>
    </w:p>
    <w:p w:rsidR="002D395C" w:rsidRPr="00DE6AEC" w:rsidRDefault="00E31F0D">
      <w:pPr>
        <w:spacing w:line="240" w:lineRule="auto"/>
        <w:jc w:val="left"/>
        <w:rPr>
          <w:rFonts w:eastAsiaTheme="minorEastAsia"/>
          <w:b/>
          <w:szCs w:val="22"/>
        </w:rPr>
      </w:pPr>
      <w:r w:rsidRPr="00DE6AEC">
        <w:rPr>
          <w:rFonts w:eastAsiaTheme="minorEastAsia"/>
          <w:b/>
          <w:szCs w:val="22"/>
        </w:rPr>
        <w:t xml:space="preserve">Proposal </w:t>
      </w:r>
      <w:r w:rsidRPr="00DE6AEC">
        <w:rPr>
          <w:rFonts w:eastAsiaTheme="minorEastAsia" w:hint="eastAsia"/>
          <w:b/>
          <w:szCs w:val="22"/>
        </w:rPr>
        <w:t>1</w:t>
      </w:r>
      <w:r w:rsidRPr="00DE6AEC">
        <w:rPr>
          <w:rFonts w:eastAsiaTheme="minorEastAsia"/>
          <w:b/>
          <w:szCs w:val="22"/>
        </w:rPr>
        <w:t xml:space="preserve">: </w:t>
      </w:r>
      <w:r w:rsidRPr="00DE6AEC">
        <w:rPr>
          <w:rFonts w:eastAsiaTheme="minorEastAsia" w:hint="eastAsia"/>
          <w:b/>
          <w:szCs w:val="22"/>
        </w:rPr>
        <w:t>CP solution needs to consider the QoS management and SPS for voice services</w:t>
      </w:r>
      <w:r w:rsidRPr="00DE6AEC">
        <w:rPr>
          <w:rFonts w:eastAsiaTheme="minorEastAsia"/>
          <w:b/>
          <w:szCs w:val="22"/>
        </w:rPr>
        <w:t>.</w:t>
      </w:r>
    </w:p>
    <w:p w:rsidR="002D395C" w:rsidRPr="00DE6AEC" w:rsidRDefault="00E31F0D">
      <w:pPr>
        <w:spacing w:line="240" w:lineRule="auto"/>
        <w:rPr>
          <w:szCs w:val="22"/>
        </w:rPr>
      </w:pPr>
      <w:r w:rsidRPr="00DE6AEC">
        <w:rPr>
          <w:rFonts w:hint="eastAsia"/>
          <w:szCs w:val="22"/>
        </w:rPr>
        <w:t>For UP solution, s</w:t>
      </w:r>
      <w:r w:rsidRPr="00DE6AEC">
        <w:rPr>
          <w:rFonts w:hint="eastAsia"/>
          <w:szCs w:val="22"/>
        </w:rPr>
        <w:t>eparate</w:t>
      </w:r>
      <w:r w:rsidRPr="00DE6AEC">
        <w:rPr>
          <w:rFonts w:hint="eastAsia"/>
          <w:szCs w:val="22"/>
        </w:rPr>
        <w:t xml:space="preserve">d </w:t>
      </w:r>
      <w:r w:rsidRPr="00DE6AEC">
        <w:rPr>
          <w:rFonts w:hint="eastAsia"/>
          <w:szCs w:val="22"/>
        </w:rPr>
        <w:t>DRBs for signalling and voice packets need to be established due to different transport requirements for these two types of packets. Vo</w:t>
      </w:r>
      <w:r w:rsidRPr="00DE6AEC">
        <w:rPr>
          <w:rFonts w:hint="eastAsia"/>
          <w:szCs w:val="22"/>
        </w:rPr>
        <w:t>ice packets require consistent jitter and delay handling and may benefit from prioritization or special treatment in satellite links. This separation also aligns with how IMS networks typically handle control and media, enabling better traffic management a</w:t>
      </w:r>
      <w:r w:rsidRPr="00DE6AEC">
        <w:rPr>
          <w:rFonts w:hint="eastAsia"/>
          <w:szCs w:val="22"/>
        </w:rPr>
        <w:t>nd potential for differentiated satellite resource allocation.</w:t>
      </w:r>
    </w:p>
    <w:p w:rsidR="002D395C" w:rsidRPr="00DE6AEC" w:rsidRDefault="00E31F0D">
      <w:pPr>
        <w:spacing w:line="240" w:lineRule="auto"/>
        <w:rPr>
          <w:szCs w:val="22"/>
        </w:rPr>
      </w:pPr>
      <w:r w:rsidRPr="00DE6AEC">
        <w:rPr>
          <w:rFonts w:hint="eastAsia"/>
          <w:szCs w:val="22"/>
        </w:rPr>
        <w:t xml:space="preserve">Current specifications already support the establishment of up to two DRBs for NB-IoT, so this solution is not expected to introduce significant additional changes. Moreover, </w:t>
      </w:r>
      <w:r w:rsidRPr="00DE6AEC">
        <w:rPr>
          <w:rFonts w:hint="eastAsia"/>
          <w:szCs w:val="22"/>
        </w:rPr>
        <w:t>t</w:t>
      </w:r>
      <w:r w:rsidRPr="00DE6AEC">
        <w:rPr>
          <w:rFonts w:hint="eastAsia"/>
          <w:szCs w:val="22"/>
        </w:rPr>
        <w:t>he UP solution in</w:t>
      </w:r>
      <w:r w:rsidRPr="00DE6AEC">
        <w:rPr>
          <w:rFonts w:hint="eastAsia"/>
          <w:szCs w:val="22"/>
        </w:rPr>
        <w:t>herently supports SPS based on RRC reconfiguration messages, which is essential for periodic small-packet transmissions such as VoIP, effectively reducing latency and control signalling overhead.</w:t>
      </w:r>
    </w:p>
    <w:p w:rsidR="002D395C" w:rsidRPr="00DE6AEC" w:rsidRDefault="00E31F0D">
      <w:pPr>
        <w:spacing w:line="240" w:lineRule="auto"/>
        <w:jc w:val="left"/>
        <w:rPr>
          <w:rFonts w:eastAsiaTheme="minorEastAsia"/>
          <w:b/>
          <w:szCs w:val="22"/>
        </w:rPr>
      </w:pPr>
      <w:r w:rsidRPr="00DE6AEC">
        <w:rPr>
          <w:rFonts w:eastAsiaTheme="minorEastAsia" w:hint="eastAsia"/>
          <w:b/>
          <w:szCs w:val="22"/>
        </w:rPr>
        <w:t>Observation</w:t>
      </w:r>
      <w:r w:rsidRPr="00DE6AEC">
        <w:rPr>
          <w:rFonts w:eastAsiaTheme="minorEastAsia"/>
          <w:b/>
          <w:szCs w:val="22"/>
        </w:rPr>
        <w:t xml:space="preserve"> </w:t>
      </w:r>
      <w:r w:rsidRPr="00DE6AEC">
        <w:rPr>
          <w:rFonts w:eastAsiaTheme="minorEastAsia" w:hint="eastAsia"/>
          <w:b/>
          <w:szCs w:val="22"/>
        </w:rPr>
        <w:t>2</w:t>
      </w:r>
      <w:r w:rsidRPr="00DE6AEC">
        <w:rPr>
          <w:rFonts w:eastAsiaTheme="minorEastAsia"/>
          <w:b/>
          <w:szCs w:val="22"/>
        </w:rPr>
        <w:t xml:space="preserve">: </w:t>
      </w:r>
      <w:r w:rsidRPr="00DE6AEC">
        <w:rPr>
          <w:rFonts w:eastAsiaTheme="minorEastAsia" w:hint="eastAsia"/>
          <w:b/>
          <w:szCs w:val="22"/>
        </w:rPr>
        <w:t>UP solution inherently supports SPS of voice</w:t>
      </w:r>
      <w:r w:rsidRPr="00DE6AEC">
        <w:rPr>
          <w:rFonts w:eastAsiaTheme="minorEastAsia"/>
          <w:b/>
          <w:szCs w:val="22"/>
        </w:rPr>
        <w:t>.</w:t>
      </w:r>
      <w:r w:rsidRPr="00DE6AEC">
        <w:rPr>
          <w:rFonts w:eastAsiaTheme="minorEastAsia"/>
          <w:b/>
          <w:szCs w:val="22"/>
        </w:rPr>
        <w:t xml:space="preserve"> </w:t>
      </w:r>
    </w:p>
    <w:p w:rsidR="002D395C" w:rsidRPr="00DE6AEC" w:rsidRDefault="00E31F0D">
      <w:pPr>
        <w:spacing w:line="240" w:lineRule="auto"/>
        <w:rPr>
          <w:szCs w:val="22"/>
        </w:rPr>
      </w:pPr>
      <w:r w:rsidRPr="00DE6AEC">
        <w:rPr>
          <w:rFonts w:hint="eastAsia"/>
          <w:szCs w:val="22"/>
        </w:rPr>
        <w:t>With ROHC applied, the overhead of the UP solution can be reduced to 7 bytes, while the CP solution still requires 15 bytes even after optimization. For ultra-narrowband voice with a bitrate of only 1.2 kbps, lower overhead results in a higher proportion</w:t>
      </w:r>
      <w:r w:rsidRPr="00DE6AEC">
        <w:rPr>
          <w:rFonts w:hint="eastAsia"/>
          <w:szCs w:val="22"/>
        </w:rPr>
        <w:t xml:space="preserve"> of effective data (63.2% for UP vs. 44.4% for CP). This directly translates to greater system capacity potential and contributes to improved voice quality.</w:t>
      </w:r>
      <w:r w:rsidRPr="00DE6AEC">
        <w:rPr>
          <w:rFonts w:hint="eastAsia"/>
          <w:szCs w:val="22"/>
        </w:rPr>
        <w:t xml:space="preserve"> Thus, we think ROHC is more useful for UP solution.</w:t>
      </w:r>
    </w:p>
    <w:p w:rsidR="002D395C" w:rsidRPr="00DE6AEC" w:rsidRDefault="00E31F0D">
      <w:pPr>
        <w:spacing w:line="240" w:lineRule="auto"/>
        <w:jc w:val="left"/>
        <w:rPr>
          <w:rFonts w:eastAsiaTheme="minorEastAsia"/>
          <w:b/>
          <w:szCs w:val="22"/>
        </w:rPr>
      </w:pPr>
      <w:r w:rsidRPr="00DE6AEC">
        <w:rPr>
          <w:rFonts w:eastAsiaTheme="minorEastAsia"/>
          <w:b/>
          <w:szCs w:val="22"/>
        </w:rPr>
        <w:t xml:space="preserve">Proposal </w:t>
      </w:r>
      <w:r w:rsidRPr="00DE6AEC">
        <w:rPr>
          <w:rFonts w:eastAsiaTheme="minorEastAsia" w:hint="eastAsia"/>
          <w:b/>
          <w:szCs w:val="22"/>
        </w:rPr>
        <w:t>2</w:t>
      </w:r>
      <w:r w:rsidRPr="00DE6AEC">
        <w:rPr>
          <w:rFonts w:eastAsiaTheme="minorEastAsia"/>
          <w:b/>
          <w:szCs w:val="22"/>
        </w:rPr>
        <w:t xml:space="preserve">: </w:t>
      </w:r>
      <w:r w:rsidRPr="00DE6AEC">
        <w:rPr>
          <w:rFonts w:eastAsiaTheme="minorEastAsia" w:hint="eastAsia"/>
          <w:b/>
          <w:szCs w:val="22"/>
        </w:rPr>
        <w:t xml:space="preserve">UP solution needs to consider the </w:t>
      </w:r>
      <w:r w:rsidRPr="00DE6AEC">
        <w:rPr>
          <w:rFonts w:eastAsiaTheme="minorEastAsia" w:hint="eastAsia"/>
          <w:b/>
          <w:szCs w:val="22"/>
        </w:rPr>
        <w:t>ROHC for overhead reduction.</w:t>
      </w:r>
      <w:r w:rsidRPr="00DE6AEC">
        <w:rPr>
          <w:rFonts w:eastAsiaTheme="minorEastAsia"/>
          <w:b/>
          <w:szCs w:val="22"/>
        </w:rPr>
        <w:t xml:space="preserve"> </w:t>
      </w:r>
    </w:p>
    <w:p w:rsidR="002D395C" w:rsidRDefault="00E31F0D">
      <w:pPr>
        <w:overflowPunct/>
        <w:autoSpaceDE/>
        <w:autoSpaceDN/>
        <w:adjustRightInd/>
        <w:spacing w:after="0" w:line="240" w:lineRule="auto"/>
        <w:jc w:val="left"/>
        <w:textAlignment w:val="auto"/>
        <w:rPr>
          <w:rFonts w:ascii="Arial" w:hAnsi="Arial"/>
          <w:sz w:val="24"/>
          <w:szCs w:val="22"/>
        </w:rPr>
      </w:pPr>
      <w:r>
        <w:rPr>
          <w:rFonts w:ascii="Arial" w:hAnsi="Arial"/>
          <w:sz w:val="24"/>
          <w:szCs w:val="22"/>
        </w:rPr>
        <w:br w:type="page"/>
      </w:r>
    </w:p>
    <w:bookmarkEnd w:id="0"/>
    <w:bookmarkEnd w:id="1"/>
    <w:p w:rsidR="002D395C" w:rsidRDefault="00E31F0D">
      <w:pPr>
        <w:pStyle w:val="1"/>
        <w:keepLines/>
        <w:numPr>
          <w:ilvl w:val="0"/>
          <w:numId w:val="4"/>
        </w:numPr>
        <w:pBdr>
          <w:top w:val="single" w:sz="12" w:space="3" w:color="auto"/>
        </w:pBdr>
        <w:overflowPunct w:val="0"/>
        <w:autoSpaceDE w:val="0"/>
        <w:autoSpaceDN w:val="0"/>
        <w:adjustRightInd w:val="0"/>
        <w:spacing w:after="180"/>
        <w:jc w:val="left"/>
        <w:textAlignment w:val="baseline"/>
      </w:pPr>
      <w:r>
        <w:lastRenderedPageBreak/>
        <w:t>Conclusion</w:t>
      </w:r>
    </w:p>
    <w:p w:rsidR="002D395C" w:rsidRPr="00DE6AEC" w:rsidRDefault="00E31F0D">
      <w:pPr>
        <w:spacing w:line="240" w:lineRule="auto"/>
        <w:rPr>
          <w:bCs/>
          <w:szCs w:val="22"/>
        </w:rPr>
      </w:pPr>
      <w:r w:rsidRPr="00DE6AEC">
        <w:rPr>
          <w:szCs w:val="22"/>
        </w:rPr>
        <w:t xml:space="preserve">This contribution discussed the </w:t>
      </w:r>
      <w:r w:rsidRPr="00DE6AEC">
        <w:rPr>
          <w:rFonts w:hint="eastAsia"/>
          <w:szCs w:val="22"/>
        </w:rPr>
        <w:t xml:space="preserve">CP and UP solution of </w:t>
      </w:r>
      <w:r w:rsidRPr="00DE6AEC">
        <w:rPr>
          <w:rFonts w:hint="eastAsia"/>
          <w:szCs w:val="22"/>
          <w:lang w:val="en-GB"/>
        </w:rPr>
        <w:t>NB-IoT voice over GEO</w:t>
      </w:r>
      <w:r w:rsidRPr="00DE6AEC">
        <w:rPr>
          <w:rFonts w:hint="eastAsia"/>
          <w:szCs w:val="22"/>
        </w:rPr>
        <w:t>. Pr</w:t>
      </w:r>
      <w:r w:rsidRPr="00DE6AEC">
        <w:rPr>
          <w:szCs w:val="22"/>
        </w:rPr>
        <w:t>oposals</w:t>
      </w:r>
      <w:r w:rsidRPr="00DE6AEC">
        <w:rPr>
          <w:rFonts w:hint="eastAsia"/>
          <w:szCs w:val="22"/>
        </w:rPr>
        <w:t xml:space="preserve"> and observations</w:t>
      </w:r>
      <w:r w:rsidRPr="00DE6AEC">
        <w:rPr>
          <w:bCs/>
          <w:szCs w:val="22"/>
        </w:rPr>
        <w:t xml:space="preserve"> are summarized as follows:</w:t>
      </w:r>
    </w:p>
    <w:p w:rsidR="002D395C" w:rsidRPr="00DE6AEC" w:rsidRDefault="00E31F0D">
      <w:pPr>
        <w:spacing w:line="240" w:lineRule="auto"/>
        <w:jc w:val="left"/>
        <w:rPr>
          <w:rFonts w:eastAsiaTheme="minorEastAsia"/>
          <w:b/>
          <w:szCs w:val="22"/>
        </w:rPr>
      </w:pPr>
      <w:r w:rsidRPr="00DE6AEC">
        <w:rPr>
          <w:rFonts w:eastAsiaTheme="minorEastAsia" w:hint="eastAsia"/>
          <w:b/>
          <w:szCs w:val="22"/>
        </w:rPr>
        <w:t>Observation</w:t>
      </w:r>
      <w:r w:rsidRPr="00DE6AEC">
        <w:rPr>
          <w:rFonts w:eastAsiaTheme="minorEastAsia"/>
          <w:b/>
          <w:szCs w:val="22"/>
        </w:rPr>
        <w:t xml:space="preserve"> 1: </w:t>
      </w:r>
      <w:r w:rsidRPr="00DE6AEC">
        <w:rPr>
          <w:rFonts w:eastAsiaTheme="minorEastAsia" w:hint="eastAsia"/>
          <w:b/>
          <w:szCs w:val="22"/>
        </w:rPr>
        <w:t>CP solution is simple for implementation</w:t>
      </w:r>
      <w:r w:rsidRPr="00DE6AEC">
        <w:rPr>
          <w:rFonts w:eastAsiaTheme="minorEastAsia"/>
          <w:b/>
          <w:szCs w:val="22"/>
        </w:rPr>
        <w:t xml:space="preserve">. </w:t>
      </w:r>
    </w:p>
    <w:p w:rsidR="002D395C" w:rsidRPr="00DE6AEC" w:rsidRDefault="00E31F0D">
      <w:pPr>
        <w:spacing w:line="240" w:lineRule="auto"/>
        <w:jc w:val="left"/>
        <w:rPr>
          <w:rFonts w:eastAsiaTheme="minorEastAsia"/>
          <w:b/>
          <w:szCs w:val="22"/>
        </w:rPr>
      </w:pPr>
      <w:r w:rsidRPr="00DE6AEC">
        <w:rPr>
          <w:rFonts w:eastAsiaTheme="minorEastAsia" w:hint="eastAsia"/>
          <w:b/>
          <w:szCs w:val="22"/>
        </w:rPr>
        <w:t>Observation</w:t>
      </w:r>
      <w:r w:rsidRPr="00DE6AEC">
        <w:rPr>
          <w:rFonts w:eastAsiaTheme="minorEastAsia"/>
          <w:b/>
          <w:szCs w:val="22"/>
        </w:rPr>
        <w:t xml:space="preserve"> </w:t>
      </w:r>
      <w:r w:rsidRPr="00DE6AEC">
        <w:rPr>
          <w:rFonts w:eastAsiaTheme="minorEastAsia" w:hint="eastAsia"/>
          <w:b/>
          <w:szCs w:val="22"/>
        </w:rPr>
        <w:t>2</w:t>
      </w:r>
      <w:r w:rsidRPr="00DE6AEC">
        <w:rPr>
          <w:rFonts w:eastAsiaTheme="minorEastAsia"/>
          <w:b/>
          <w:szCs w:val="22"/>
        </w:rPr>
        <w:t xml:space="preserve">: </w:t>
      </w:r>
      <w:r w:rsidRPr="00DE6AEC">
        <w:rPr>
          <w:rFonts w:eastAsiaTheme="minorEastAsia" w:hint="eastAsia"/>
          <w:b/>
          <w:szCs w:val="22"/>
        </w:rPr>
        <w:t>UP soluti</w:t>
      </w:r>
      <w:r w:rsidRPr="00DE6AEC">
        <w:rPr>
          <w:rFonts w:eastAsiaTheme="minorEastAsia" w:hint="eastAsia"/>
          <w:b/>
          <w:szCs w:val="22"/>
        </w:rPr>
        <w:t>on inherently supports SPS of voice</w:t>
      </w:r>
      <w:r w:rsidRPr="00DE6AEC">
        <w:rPr>
          <w:rFonts w:eastAsiaTheme="minorEastAsia"/>
          <w:b/>
          <w:szCs w:val="22"/>
        </w:rPr>
        <w:t xml:space="preserve">. </w:t>
      </w:r>
    </w:p>
    <w:p w:rsidR="002D395C" w:rsidRPr="00DE6AEC" w:rsidRDefault="00E31F0D">
      <w:pPr>
        <w:spacing w:line="240" w:lineRule="auto"/>
        <w:jc w:val="left"/>
        <w:rPr>
          <w:rFonts w:eastAsiaTheme="minorEastAsia"/>
          <w:b/>
          <w:szCs w:val="22"/>
        </w:rPr>
      </w:pPr>
      <w:r w:rsidRPr="00DE6AEC">
        <w:rPr>
          <w:rFonts w:eastAsiaTheme="minorEastAsia"/>
          <w:b/>
          <w:szCs w:val="22"/>
        </w:rPr>
        <w:t xml:space="preserve">Proposal </w:t>
      </w:r>
      <w:r w:rsidRPr="00DE6AEC">
        <w:rPr>
          <w:rFonts w:eastAsiaTheme="minorEastAsia" w:hint="eastAsia"/>
          <w:b/>
          <w:szCs w:val="22"/>
        </w:rPr>
        <w:t>1</w:t>
      </w:r>
      <w:r w:rsidRPr="00DE6AEC">
        <w:rPr>
          <w:rFonts w:eastAsiaTheme="minorEastAsia"/>
          <w:b/>
          <w:szCs w:val="22"/>
        </w:rPr>
        <w:t xml:space="preserve">: </w:t>
      </w:r>
      <w:r w:rsidRPr="00DE6AEC">
        <w:rPr>
          <w:rFonts w:eastAsiaTheme="minorEastAsia" w:hint="eastAsia"/>
          <w:b/>
          <w:szCs w:val="22"/>
        </w:rPr>
        <w:t>CP solution needs to consider the QoS management and SPS for voice services</w:t>
      </w:r>
      <w:r w:rsidRPr="00DE6AEC">
        <w:rPr>
          <w:rFonts w:eastAsiaTheme="minorEastAsia"/>
          <w:b/>
          <w:szCs w:val="22"/>
        </w:rPr>
        <w:t>.</w:t>
      </w:r>
    </w:p>
    <w:p w:rsidR="002D395C" w:rsidRPr="00DE6AEC" w:rsidRDefault="00E31F0D">
      <w:pPr>
        <w:spacing w:line="240" w:lineRule="auto"/>
        <w:jc w:val="left"/>
        <w:rPr>
          <w:rFonts w:eastAsiaTheme="minorEastAsia"/>
          <w:b/>
          <w:szCs w:val="22"/>
        </w:rPr>
      </w:pPr>
      <w:r w:rsidRPr="00DE6AEC">
        <w:rPr>
          <w:rFonts w:eastAsiaTheme="minorEastAsia"/>
          <w:b/>
          <w:szCs w:val="22"/>
        </w:rPr>
        <w:t xml:space="preserve">Proposal </w:t>
      </w:r>
      <w:r w:rsidRPr="00DE6AEC">
        <w:rPr>
          <w:rFonts w:eastAsiaTheme="minorEastAsia" w:hint="eastAsia"/>
          <w:b/>
          <w:szCs w:val="22"/>
        </w:rPr>
        <w:t>2</w:t>
      </w:r>
      <w:r w:rsidRPr="00DE6AEC">
        <w:rPr>
          <w:rFonts w:eastAsiaTheme="minorEastAsia"/>
          <w:b/>
          <w:szCs w:val="22"/>
        </w:rPr>
        <w:t xml:space="preserve">: </w:t>
      </w:r>
      <w:r w:rsidRPr="00DE6AEC">
        <w:rPr>
          <w:rFonts w:eastAsiaTheme="minorEastAsia" w:hint="eastAsia"/>
          <w:b/>
          <w:szCs w:val="22"/>
        </w:rPr>
        <w:t>UP solution needs to consider the ROHC for overhead reduct</w:t>
      </w:r>
      <w:bookmarkStart w:id="2" w:name="_GoBack"/>
      <w:bookmarkEnd w:id="2"/>
      <w:r w:rsidRPr="00DE6AEC">
        <w:rPr>
          <w:rFonts w:eastAsiaTheme="minorEastAsia" w:hint="eastAsia"/>
          <w:b/>
          <w:szCs w:val="22"/>
        </w:rPr>
        <w:t>ion.</w:t>
      </w:r>
      <w:r w:rsidRPr="00DE6AEC">
        <w:rPr>
          <w:rFonts w:eastAsiaTheme="minorEastAsia"/>
          <w:b/>
          <w:szCs w:val="22"/>
        </w:rPr>
        <w:t xml:space="preserve"> </w:t>
      </w:r>
    </w:p>
    <w:p w:rsidR="002D395C" w:rsidRDefault="002D395C">
      <w:pPr>
        <w:spacing w:line="240" w:lineRule="auto"/>
        <w:jc w:val="left"/>
        <w:rPr>
          <w:rFonts w:eastAsiaTheme="minorEastAsia"/>
          <w:b/>
        </w:rPr>
      </w:pPr>
    </w:p>
    <w:p w:rsidR="002D395C" w:rsidRDefault="002D395C">
      <w:pPr>
        <w:spacing w:line="240" w:lineRule="auto"/>
        <w:jc w:val="left"/>
      </w:pPr>
    </w:p>
    <w:sectPr w:rsidR="002D395C">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F0D" w:rsidRDefault="00E31F0D">
      <w:pPr>
        <w:spacing w:line="240" w:lineRule="auto"/>
      </w:pPr>
      <w:r>
        <w:separator/>
      </w:r>
    </w:p>
  </w:endnote>
  <w:endnote w:type="continuationSeparator" w:id="0">
    <w:p w:rsidR="00E31F0D" w:rsidRDefault="00E31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95C" w:rsidRDefault="002D395C">
    <w:pPr>
      <w:pStyle w:val="ad"/>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95C" w:rsidRDefault="002D395C">
    <w:pPr>
      <w:pStyle w:val="ad"/>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F0D" w:rsidRDefault="00E31F0D">
      <w:pPr>
        <w:spacing w:after="0"/>
      </w:pPr>
      <w:r>
        <w:separator/>
      </w:r>
    </w:p>
  </w:footnote>
  <w:footnote w:type="continuationSeparator" w:id="0">
    <w:p w:rsidR="00E31F0D" w:rsidRDefault="00E31F0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95C" w:rsidRDefault="002D395C">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95C" w:rsidRDefault="002D395C">
    <w:pPr>
      <w:pStyle w:val="ae"/>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395C"/>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5D60"/>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E6AEC"/>
    <w:rsid w:val="00DF6F01"/>
    <w:rsid w:val="00E02C25"/>
    <w:rsid w:val="00E0566F"/>
    <w:rsid w:val="00E17609"/>
    <w:rsid w:val="00E209DB"/>
    <w:rsid w:val="00E20B7E"/>
    <w:rsid w:val="00E27BFC"/>
    <w:rsid w:val="00E27DB4"/>
    <w:rsid w:val="00E31F0D"/>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10C14CD2"/>
    <w:rsid w:val="1556287B"/>
    <w:rsid w:val="1FE24D22"/>
    <w:rsid w:val="3A970136"/>
    <w:rsid w:val="411C03C4"/>
    <w:rsid w:val="48305A92"/>
    <w:rsid w:val="50850D04"/>
    <w:rsid w:val="5BAF4567"/>
    <w:rsid w:val="606C3347"/>
    <w:rsid w:val="6F456965"/>
    <w:rsid w:val="767A5429"/>
    <w:rsid w:val="7A03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B964C"/>
  <w15:docId w15:val="{DAF6FDEE-7A28-4387-AB30-FD345E69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line="300" w:lineRule="auto"/>
      <w:jc w:val="both"/>
      <w:textAlignment w:val="baseline"/>
    </w:pPr>
    <w:rPr>
      <w:rFonts w:ascii="Times New Roman" w:eastAsia="宋体" w:hAnsi="Times New Roman" w:cs="Times New Roman"/>
      <w:sz w:val="22"/>
    </w:rPr>
  </w:style>
  <w:style w:type="paragraph" w:styleId="1">
    <w:name w:val="heading 1"/>
    <w:next w:val="2"/>
    <w:link w:val="10"/>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1"/>
    <w:qFormat/>
    <w:pPr>
      <w:keepNext/>
      <w:numPr>
        <w:ilvl w:val="1"/>
        <w:numId w:val="1"/>
      </w:numPr>
      <w:spacing w:before="120" w:after="120"/>
      <w:jc w:val="both"/>
      <w:outlineLvl w:val="1"/>
    </w:pPr>
    <w:rPr>
      <w:rFonts w:ascii="Arial" w:eastAsia="黑体" w:hAnsi="Arial" w:cs="Times New Roman"/>
      <w:sz w:val="28"/>
      <w:szCs w:val="24"/>
    </w:rPr>
  </w:style>
  <w:style w:type="paragraph" w:styleId="3">
    <w:name w:val="heading 3"/>
    <w:basedOn w:val="a1"/>
    <w:next w:val="a1"/>
    <w:qFormat/>
    <w:pPr>
      <w:keepNext/>
      <w:keepLines/>
      <w:numPr>
        <w:ilvl w:val="2"/>
        <w:numId w:val="1"/>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semiHidden/>
    <w:unhideWhenUsed/>
    <w:qFormat/>
    <w:pPr>
      <w:ind w:leftChars="400" w:left="100" w:hangingChars="200" w:hanging="200"/>
      <w:contextualSpacing/>
    </w:pPr>
  </w:style>
  <w:style w:type="paragraph" w:styleId="a5">
    <w:name w:val="caption"/>
    <w:basedOn w:val="a1"/>
    <w:next w:val="a1"/>
    <w:link w:val="a6"/>
    <w:qFormat/>
    <w:pPr>
      <w:overflowPunct/>
      <w:snapToGrid w:val="0"/>
      <w:spacing w:after="120" w:line="240" w:lineRule="auto"/>
      <w:jc w:val="center"/>
      <w:textAlignment w:val="auto"/>
    </w:pPr>
    <w:rPr>
      <w:b/>
      <w:bCs/>
      <w:sz w:val="20"/>
      <w:lang w:eastAsia="en-US"/>
    </w:rPr>
  </w:style>
  <w:style w:type="paragraph" w:styleId="a7">
    <w:name w:val="annotation text"/>
    <w:basedOn w:val="a1"/>
    <w:link w:val="a8"/>
    <w:uiPriority w:val="99"/>
    <w:qFormat/>
  </w:style>
  <w:style w:type="paragraph" w:styleId="a9">
    <w:name w:val="Body Text"/>
    <w:basedOn w:val="a1"/>
    <w:link w:val="aa"/>
    <w:semiHidden/>
    <w:unhideWhenUsed/>
    <w:qFormat/>
    <w:pPr>
      <w:spacing w:after="120"/>
    </w:pPr>
  </w:style>
  <w:style w:type="paragraph" w:styleId="20">
    <w:name w:val="List 2"/>
    <w:basedOn w:val="a1"/>
    <w:semiHidden/>
    <w:unhideWhenUsed/>
    <w:qFormat/>
    <w:pPr>
      <w:ind w:leftChars="200" w:left="100" w:hangingChars="200" w:hanging="200"/>
      <w:contextualSpacing/>
    </w:pPr>
  </w:style>
  <w:style w:type="paragraph" w:styleId="ab">
    <w:name w:val="Balloon Text"/>
    <w:basedOn w:val="a1"/>
    <w:link w:val="ac"/>
    <w:qFormat/>
    <w:pPr>
      <w:spacing w:line="240" w:lineRule="auto"/>
    </w:pPr>
    <w:rPr>
      <w:sz w:val="18"/>
      <w:szCs w:val="18"/>
    </w:rPr>
  </w:style>
  <w:style w:type="paragraph" w:styleId="ad">
    <w:name w:val="footer"/>
    <w:qFormat/>
    <w:pPr>
      <w:tabs>
        <w:tab w:val="center" w:pos="4510"/>
        <w:tab w:val="right" w:pos="9020"/>
      </w:tabs>
    </w:pPr>
    <w:rPr>
      <w:rFonts w:ascii="Arial" w:eastAsia="宋体" w:hAnsi="Arial" w:cs="Times New Roman"/>
      <w:sz w:val="18"/>
      <w:szCs w:val="18"/>
    </w:rPr>
  </w:style>
  <w:style w:type="paragraph" w:styleId="ae">
    <w:name w:val="header"/>
    <w:basedOn w:val="a1"/>
    <w:qFormat/>
    <w:pPr>
      <w:tabs>
        <w:tab w:val="center" w:pos="4153"/>
        <w:tab w:val="right" w:pos="8306"/>
      </w:tabs>
      <w:snapToGrid w:val="0"/>
    </w:pPr>
    <w:rPr>
      <w:rFonts w:ascii="Arial" w:hAnsi="Arial"/>
      <w:sz w:val="18"/>
      <w:szCs w:val="18"/>
    </w:rPr>
  </w:style>
  <w:style w:type="paragraph" w:styleId="af">
    <w:name w:val="List"/>
    <w:basedOn w:val="a1"/>
    <w:semiHidden/>
    <w:unhideWhenUsed/>
    <w:qFormat/>
    <w:pPr>
      <w:ind w:left="200" w:hangingChars="200" w:hanging="200"/>
      <w:contextualSpacing/>
    </w:pPr>
  </w:style>
  <w:style w:type="paragraph" w:styleId="5">
    <w:name w:val="List 5"/>
    <w:basedOn w:val="a1"/>
    <w:qFormat/>
    <w:pPr>
      <w:ind w:leftChars="800" w:left="100" w:hangingChars="200" w:hanging="200"/>
      <w:contextualSpacing/>
    </w:pPr>
  </w:style>
  <w:style w:type="paragraph" w:styleId="41">
    <w:name w:val="List 4"/>
    <w:basedOn w:val="a1"/>
    <w:qFormat/>
    <w:pPr>
      <w:ind w:leftChars="600" w:left="100" w:hangingChars="200" w:hanging="200"/>
      <w:contextualSpacing/>
    </w:pPr>
  </w:style>
  <w:style w:type="paragraph" w:styleId="af0">
    <w:name w:val="Normal (Web)"/>
    <w:basedOn w:val="a1"/>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styleId="af1">
    <w:name w:val="Title"/>
    <w:basedOn w:val="2"/>
    <w:link w:val="af2"/>
    <w:uiPriority w:val="10"/>
    <w:qFormat/>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af3">
    <w:name w:val="annotation subject"/>
    <w:basedOn w:val="a7"/>
    <w:next w:val="a7"/>
    <w:link w:val="af4"/>
    <w:semiHidden/>
    <w:unhideWhenUsed/>
    <w:qFormat/>
    <w:pPr>
      <w:jc w:val="left"/>
    </w:pPr>
    <w:rPr>
      <w:b/>
      <w:bCs/>
    </w:rPr>
  </w:style>
  <w:style w:type="table" w:styleId="af5">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Pr>
      <w:b/>
      <w:bCs/>
    </w:rPr>
  </w:style>
  <w:style w:type="character" w:styleId="af7">
    <w:name w:val="Hyperlink"/>
    <w:qFormat/>
    <w:rPr>
      <w:color w:val="0000FF"/>
      <w:u w:val="single"/>
    </w:rPr>
  </w:style>
  <w:style w:type="character" w:styleId="af8">
    <w:name w:val="annotation reference"/>
    <w:uiPriority w:val="99"/>
    <w:semiHidden/>
    <w:qFormat/>
    <w:rPr>
      <w:sz w:val="16"/>
      <w:szCs w:val="16"/>
    </w:rPr>
  </w:style>
  <w:style w:type="paragraph" w:customStyle="1" w:styleId="a0">
    <w:name w:val="表格题注"/>
    <w:next w:val="a1"/>
    <w:qFormat/>
    <w:pPr>
      <w:keepLines/>
      <w:numPr>
        <w:ilvl w:val="8"/>
        <w:numId w:val="2"/>
      </w:numPr>
      <w:tabs>
        <w:tab w:val="left" w:pos="360"/>
      </w:tabs>
      <w:spacing w:beforeLines="100"/>
      <w:ind w:left="1089" w:hanging="369"/>
      <w:jc w:val="center"/>
    </w:pPr>
    <w:rPr>
      <w:rFonts w:ascii="Arial" w:eastAsia="宋体" w:hAnsi="Arial" w:cs="Times New Roman"/>
      <w:sz w:val="18"/>
      <w:szCs w:val="18"/>
    </w:rPr>
  </w:style>
  <w:style w:type="paragraph" w:customStyle="1" w:styleId="af9">
    <w:name w:val="表格文本"/>
    <w:qFormat/>
    <w:pPr>
      <w:tabs>
        <w:tab w:val="decimal" w:pos="0"/>
      </w:tabs>
    </w:pPr>
    <w:rPr>
      <w:rFonts w:ascii="Arial" w:eastAsia="宋体" w:hAnsi="Arial" w:cs="Times New Roman"/>
      <w:sz w:val="21"/>
      <w:szCs w:val="21"/>
    </w:rPr>
  </w:style>
  <w:style w:type="paragraph" w:customStyle="1" w:styleId="afa">
    <w:name w:val="表头文本"/>
    <w:qFormat/>
    <w:pPr>
      <w:jc w:val="center"/>
    </w:pPr>
    <w:rPr>
      <w:rFonts w:ascii="Arial" w:eastAsia="宋体" w:hAnsi="Arial" w:cs="Times New Roman"/>
      <w:b/>
      <w:sz w:val="21"/>
      <w:szCs w:val="21"/>
    </w:rPr>
  </w:style>
  <w:style w:type="table" w:customStyle="1" w:styleId="afb">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
      </w:numPr>
      <w:spacing w:afterLines="100"/>
      <w:ind w:left="1089" w:hanging="369"/>
      <w:jc w:val="center"/>
    </w:pPr>
    <w:rPr>
      <w:rFonts w:ascii="Arial" w:eastAsia="宋体" w:hAnsi="Arial" w:cs="Times New Roman"/>
      <w:sz w:val="18"/>
      <w:szCs w:val="18"/>
    </w:rPr>
  </w:style>
  <w:style w:type="paragraph" w:customStyle="1" w:styleId="afc">
    <w:name w:val="图样式"/>
    <w:basedOn w:val="a1"/>
    <w:qFormat/>
    <w:pPr>
      <w:keepNext/>
      <w:spacing w:before="80" w:after="80"/>
      <w:jc w:val="center"/>
    </w:pPr>
  </w:style>
  <w:style w:type="paragraph" w:customStyle="1" w:styleId="afd">
    <w:name w:val="文档标题"/>
    <w:basedOn w:val="a1"/>
    <w:qFormat/>
    <w:pPr>
      <w:tabs>
        <w:tab w:val="left" w:pos="0"/>
      </w:tabs>
      <w:spacing w:before="300" w:after="300"/>
      <w:jc w:val="center"/>
    </w:pPr>
    <w:rPr>
      <w:rFonts w:ascii="Arial" w:eastAsia="黑体" w:hAnsi="Arial"/>
      <w:sz w:val="36"/>
      <w:szCs w:val="36"/>
    </w:rPr>
  </w:style>
  <w:style w:type="paragraph" w:customStyle="1" w:styleId="afe">
    <w:name w:val="正文（首行不缩进）"/>
    <w:basedOn w:val="a1"/>
    <w:qFormat/>
  </w:style>
  <w:style w:type="paragraph" w:customStyle="1" w:styleId="aff">
    <w:name w:val="注示头"/>
    <w:basedOn w:val="a1"/>
    <w:qFormat/>
    <w:pPr>
      <w:pBdr>
        <w:top w:val="single" w:sz="4" w:space="1" w:color="000000"/>
      </w:pBdr>
    </w:pPr>
    <w:rPr>
      <w:rFonts w:ascii="Arial" w:eastAsia="黑体" w:hAnsi="Arial"/>
      <w:sz w:val="18"/>
    </w:rPr>
  </w:style>
  <w:style w:type="paragraph" w:customStyle="1" w:styleId="aff0">
    <w:name w:val="注示文本"/>
    <w:basedOn w:val="a1"/>
    <w:qFormat/>
    <w:pPr>
      <w:pBdr>
        <w:bottom w:val="single" w:sz="4" w:space="1" w:color="000000"/>
      </w:pBdr>
      <w:ind w:firstLine="360"/>
    </w:pPr>
    <w:rPr>
      <w:rFonts w:ascii="Arial" w:eastAsia="楷体_GB2312" w:hAnsi="Arial"/>
      <w:sz w:val="18"/>
      <w:szCs w:val="18"/>
    </w:rPr>
  </w:style>
  <w:style w:type="paragraph" w:customStyle="1" w:styleId="aff1">
    <w:name w:val="编写建议"/>
    <w:basedOn w:val="a1"/>
    <w:qFormat/>
    <w:pPr>
      <w:ind w:firstLine="420"/>
    </w:pPr>
    <w:rPr>
      <w:rFonts w:ascii="Arial" w:hAnsi="Arial" w:cs="Arial"/>
      <w:i/>
      <w:color w:val="0000FF"/>
    </w:rPr>
  </w:style>
  <w:style w:type="character" w:customStyle="1" w:styleId="aff2">
    <w:name w:val="样式一"/>
    <w:basedOn w:val="a2"/>
    <w:qFormat/>
    <w:rPr>
      <w:rFonts w:ascii="宋体" w:hAnsi="宋体"/>
      <w:b/>
      <w:bCs/>
      <w:color w:val="000000"/>
      <w:sz w:val="36"/>
    </w:rPr>
  </w:style>
  <w:style w:type="character" w:customStyle="1" w:styleId="aff3">
    <w:name w:val="样式二"/>
    <w:basedOn w:val="aff2"/>
    <w:qFormat/>
    <w:rPr>
      <w:rFonts w:ascii="宋体" w:hAnsi="宋体"/>
      <w:b/>
      <w:bCs/>
      <w:color w:val="000000"/>
      <w:sz w:val="36"/>
    </w:rPr>
  </w:style>
  <w:style w:type="character" w:customStyle="1" w:styleId="ac">
    <w:name w:val="批注框文本 字符"/>
    <w:basedOn w:val="a2"/>
    <w:link w:val="ab"/>
    <w:qFormat/>
    <w:rPr>
      <w:snapToGrid w:val="0"/>
      <w:sz w:val="18"/>
      <w:szCs w:val="18"/>
    </w:rPr>
  </w:style>
  <w:style w:type="paragraph" w:styleId="aff4">
    <w:name w:val="List Paragraph"/>
    <w:basedOn w:val="a1"/>
    <w:link w:val="aff5"/>
    <w:uiPriority w:val="34"/>
    <w:qFormat/>
    <w:pPr>
      <w:ind w:firstLineChars="200" w:firstLine="420"/>
    </w:pPr>
  </w:style>
  <w:style w:type="character" w:customStyle="1" w:styleId="a8">
    <w:name w:val="批注文字 字符"/>
    <w:basedOn w:val="a2"/>
    <w:link w:val="a7"/>
    <w:uiPriority w:val="99"/>
    <w:qFormat/>
    <w:rPr>
      <w:sz w:val="22"/>
    </w:rPr>
  </w:style>
  <w:style w:type="character" w:customStyle="1" w:styleId="af2">
    <w:name w:val="标题 字符"/>
    <w:basedOn w:val="a2"/>
    <w:link w:val="af1"/>
    <w:uiPriority w:val="10"/>
    <w:qFormat/>
    <w:rPr>
      <w:rFonts w:ascii="Arial" w:eastAsia="Arial" w:hAnsi="Arial"/>
      <w:sz w:val="30"/>
      <w:lang w:val="de-DE" w:eastAsia="en-US"/>
    </w:rPr>
  </w:style>
  <w:style w:type="paragraph" w:customStyle="1" w:styleId="MediumGrid1-Accent21">
    <w:name w:val="Medium Grid 1 - Accent 21"/>
    <w:basedOn w:val="a1"/>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aff5">
    <w:name w:val="列出段落 字符"/>
    <w:link w:val="aff4"/>
    <w:uiPriority w:val="34"/>
    <w:qFormat/>
    <w:rPr>
      <w:snapToGrid w:val="0"/>
      <w:sz w:val="21"/>
      <w:szCs w:val="21"/>
    </w:rPr>
  </w:style>
  <w:style w:type="character" w:customStyle="1" w:styleId="10">
    <w:name w:val="标题 1 字符"/>
    <w:basedOn w:val="a2"/>
    <w:link w:val="1"/>
    <w:qFormat/>
    <w:rPr>
      <w:rFonts w:ascii="Arial" w:eastAsia="黑体" w:hAnsi="Arial"/>
      <w:b/>
      <w:sz w:val="32"/>
      <w:szCs w:val="32"/>
    </w:rPr>
  </w:style>
  <w:style w:type="paragraph" w:customStyle="1" w:styleId="Reference">
    <w:name w:val="Reference"/>
    <w:basedOn w:val="a9"/>
    <w:link w:val="ReferenceChar"/>
    <w:qFormat/>
    <w:pPr>
      <w:widowControl w:val="0"/>
      <w:numPr>
        <w:numId w:val="3"/>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qFormat/>
    <w:rPr>
      <w:rFonts w:ascii="Arial" w:eastAsia="等线" w:hAnsi="Arial"/>
      <w:kern w:val="2"/>
      <w:sz w:val="21"/>
      <w:szCs w:val="22"/>
    </w:rPr>
  </w:style>
  <w:style w:type="paragraph" w:customStyle="1" w:styleId="30">
    <w:name w:val="标题3"/>
    <w:basedOn w:val="af1"/>
    <w:link w:val="32"/>
    <w:qFormat/>
    <w:pPr>
      <w:numPr>
        <w:ilvl w:val="2"/>
        <w:numId w:val="4"/>
      </w:numPr>
    </w:pPr>
    <w:rPr>
      <w:sz w:val="28"/>
    </w:rPr>
  </w:style>
  <w:style w:type="character" w:customStyle="1" w:styleId="32">
    <w:name w:val="标题3 字符"/>
    <w:basedOn w:val="af2"/>
    <w:link w:val="30"/>
    <w:qFormat/>
    <w:rPr>
      <w:rFonts w:ascii="Arial" w:eastAsia="Arial" w:hAnsi="Arial"/>
      <w:sz w:val="28"/>
      <w:lang w:val="de-DE" w:eastAsia="en-US"/>
    </w:rPr>
  </w:style>
  <w:style w:type="character" w:customStyle="1" w:styleId="aa">
    <w:name w:val="正文文本 字符"/>
    <w:basedOn w:val="a2"/>
    <w:link w:val="a9"/>
    <w:semiHidden/>
    <w:qFormat/>
    <w:rPr>
      <w:sz w:val="22"/>
    </w:rPr>
  </w:style>
  <w:style w:type="paragraph" w:customStyle="1" w:styleId="Agreement">
    <w:name w:val="Agreement"/>
    <w:basedOn w:val="a1"/>
    <w:next w:val="a1"/>
    <w:uiPriority w:val="99"/>
    <w:qFormat/>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character" w:customStyle="1" w:styleId="a6">
    <w:name w:val="题注 字符"/>
    <w:basedOn w:val="a2"/>
    <w:link w:val="a5"/>
    <w:qFormat/>
    <w:rPr>
      <w:b/>
      <w:bCs/>
      <w:lang w:eastAsia="en-US"/>
    </w:rPr>
  </w:style>
  <w:style w:type="character" w:customStyle="1" w:styleId="11">
    <w:name w:val="列表段落 字符1"/>
    <w:uiPriority w:val="34"/>
    <w:qFormat/>
    <w:locked/>
    <w:rPr>
      <w:sz w:val="22"/>
      <w:szCs w:val="22"/>
    </w:rPr>
  </w:style>
  <w:style w:type="character" w:customStyle="1" w:styleId="40">
    <w:name w:val="标题 4 字符"/>
    <w:basedOn w:val="a2"/>
    <w:link w:val="4"/>
    <w:semiHidden/>
    <w:qFormat/>
    <w:rPr>
      <w:rFonts w:asciiTheme="majorHAnsi" w:eastAsiaTheme="majorEastAsia" w:hAnsiTheme="majorHAnsi" w:cstheme="majorBidi"/>
      <w:b/>
      <w:bCs/>
      <w:sz w:val="28"/>
      <w:szCs w:val="28"/>
    </w:rPr>
  </w:style>
  <w:style w:type="character" w:customStyle="1" w:styleId="af4">
    <w:name w:val="批注主题 字符"/>
    <w:basedOn w:val="a8"/>
    <w:link w:val="af3"/>
    <w:semiHidden/>
    <w:rPr>
      <w:b/>
      <w:bCs/>
      <w:sz w:val="22"/>
    </w:rPr>
  </w:style>
  <w:style w:type="paragraph" w:customStyle="1" w:styleId="12">
    <w:name w:val="修订1"/>
    <w:hidden/>
    <w:uiPriority w:val="99"/>
    <w:semiHidden/>
    <w:rPr>
      <w:rFonts w:ascii="Times New Roman" w:eastAsia="宋体" w:hAnsi="Times New Roman" w:cs="Times New Roman"/>
      <w:sz w:val="22"/>
    </w:rPr>
  </w:style>
  <w:style w:type="paragraph" w:customStyle="1" w:styleId="Doc-text2">
    <w:name w:val="Doc-text2"/>
    <w:basedOn w:val="a1"/>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B1">
    <w:name w:val="B1"/>
    <w:basedOn w:val="af"/>
    <w:link w:val="B1Char1"/>
    <w:qFormat/>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Pr>
      <w:rFonts w:eastAsia="Times New Roman"/>
      <w:lang w:val="en-GB" w:eastAsia="en-GB"/>
    </w:rPr>
  </w:style>
  <w:style w:type="paragraph" w:customStyle="1" w:styleId="EmailDiscussion">
    <w:name w:val="EmailDiscussion"/>
    <w:basedOn w:val="a1"/>
    <w:next w:val="a1"/>
    <w:qFormat/>
    <w:pPr>
      <w:numPr>
        <w:numId w:val="5"/>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Pr>
      <w:rFonts w:eastAsia="Times New Roman"/>
    </w:rPr>
  </w:style>
  <w:style w:type="paragraph" w:customStyle="1" w:styleId="B2">
    <w:name w:val="B2"/>
    <w:basedOn w:val="20"/>
    <w:link w:val="B2Char"/>
    <w:qFormat/>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Pr>
      <w:rFonts w:eastAsia="Times New Roman"/>
    </w:rPr>
  </w:style>
  <w:style w:type="paragraph" w:customStyle="1" w:styleId="B3">
    <w:name w:val="B3"/>
    <w:basedOn w:val="31"/>
    <w:link w:val="B3Char2"/>
    <w:qFormat/>
    <w:pPr>
      <w:spacing w:line="240" w:lineRule="auto"/>
      <w:ind w:leftChars="0" w:left="1135" w:firstLineChars="0" w:hanging="284"/>
      <w:contextualSpacing w:val="0"/>
      <w:jc w:val="left"/>
      <w:textAlignment w:val="auto"/>
    </w:pPr>
    <w:rPr>
      <w:rFonts w:eastAsia="Times New Roman"/>
      <w:sz w:val="20"/>
    </w:rPr>
  </w:style>
  <w:style w:type="paragraph" w:customStyle="1" w:styleId="Comments">
    <w:name w:val="Comments"/>
    <w:basedOn w:val="a1"/>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rPr>
  </w:style>
  <w:style w:type="character" w:customStyle="1" w:styleId="B1Char">
    <w:name w:val="B1 Char"/>
    <w:basedOn w:val="a2"/>
    <w:qFormat/>
    <w:rPr>
      <w:lang w:val="en-GB" w:eastAsia="ja-JP" w:bidi="ar-SA"/>
    </w:rPr>
  </w:style>
  <w:style w:type="paragraph" w:customStyle="1" w:styleId="NO">
    <w:name w:val="NO"/>
    <w:basedOn w:val="a1"/>
    <w:link w:val="NOChar"/>
    <w:qFormat/>
    <w:pPr>
      <w:keepLines/>
      <w:spacing w:line="240" w:lineRule="auto"/>
      <w:ind w:left="1135" w:hanging="851"/>
      <w:jc w:val="left"/>
    </w:pPr>
    <w:rPr>
      <w:rFonts w:eastAsiaTheme="minorEastAsia"/>
      <w:sz w:val="20"/>
      <w:lang w:val="en-GB" w:eastAsia="en-US"/>
    </w:rPr>
  </w:style>
  <w:style w:type="character" w:customStyle="1" w:styleId="NOChar">
    <w:name w:val="NO Char"/>
    <w:link w:val="NO"/>
    <w:qFormat/>
    <w:rPr>
      <w:rFonts w:eastAsiaTheme="minorEastAsia"/>
      <w:lang w:val="en-GB" w:eastAsia="en-US"/>
    </w:rPr>
  </w:style>
  <w:style w:type="paragraph" w:customStyle="1" w:styleId="B4">
    <w:name w:val="B4"/>
    <w:basedOn w:val="41"/>
    <w:link w:val="B4Char"/>
    <w:qFormat/>
    <w:pPr>
      <w:spacing w:line="240" w:lineRule="auto"/>
      <w:ind w:leftChars="0" w:left="1418" w:firstLineChars="0" w:hanging="284"/>
      <w:contextualSpacing w:val="0"/>
      <w:jc w:val="left"/>
    </w:pPr>
    <w:rPr>
      <w:rFonts w:eastAsia="Times New Roman"/>
      <w:sz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line="240" w:lineRule="auto"/>
      <w:ind w:leftChars="0" w:left="1702" w:firstLineChars="0" w:hanging="284"/>
      <w:contextualSpacing w:val="0"/>
      <w:jc w:val="left"/>
    </w:pPr>
    <w:rPr>
      <w:rFonts w:eastAsia="Times New Roman"/>
      <w:sz w:val="20"/>
      <w:lang w:val="en-GB" w:eastAsia="ja-JP"/>
    </w:rPr>
  </w:style>
  <w:style w:type="character" w:customStyle="1" w:styleId="B5Char">
    <w:name w:val="B5 Char"/>
    <w:link w:val="B5"/>
    <w:qFormat/>
    <w:rPr>
      <w:rFonts w:eastAsia="Times New Roman"/>
      <w:lang w:val="en-GB" w:eastAsia="ja-JP"/>
    </w:rPr>
  </w:style>
  <w:style w:type="paragraph" w:customStyle="1" w:styleId="TAH">
    <w:name w:val="TAH"/>
    <w:basedOn w:val="a1"/>
    <w:link w:val="TAHCar"/>
    <w:qFormat/>
    <w:pPr>
      <w:keepNext/>
      <w:keepLines/>
      <w:spacing w:after="0" w:line="240" w:lineRule="auto"/>
      <w:jc w:val="center"/>
    </w:pPr>
    <w:rPr>
      <w:rFonts w:ascii="Arial" w:eastAsia="Times New Roman" w:hAnsi="Arial"/>
      <w:b/>
      <w:sz w:val="18"/>
      <w:lang w:val="en-GB" w:eastAsia="ja-JP"/>
    </w:rPr>
  </w:style>
  <w:style w:type="paragraph" w:customStyle="1" w:styleId="TAL">
    <w:name w:val="TAL"/>
    <w:basedOn w:val="a1"/>
    <w:link w:val="TALCar"/>
    <w:qFormat/>
    <w:pPr>
      <w:keepNext/>
      <w:keepLines/>
      <w:spacing w:after="0" w:line="240" w:lineRule="auto"/>
      <w:jc w:val="left"/>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H">
    <w:name w:val="TH"/>
    <w:basedOn w:val="a1"/>
    <w:link w:val="THChar"/>
    <w:qFormat/>
    <w:pPr>
      <w:keepNext/>
      <w:keepLines/>
      <w:spacing w:before="60" w:line="240" w:lineRule="auto"/>
      <w:jc w:val="center"/>
    </w:pPr>
    <w:rPr>
      <w:rFonts w:ascii="Arial" w:eastAsia="Times New Roman" w:hAnsi="Arial"/>
      <w:b/>
      <w:sz w:val="20"/>
      <w:lang w:val="en-GB" w:eastAsia="ja-JP"/>
    </w:rPr>
  </w:style>
  <w:style w:type="character" w:customStyle="1" w:styleId="THChar">
    <w:name w:val="TH Char"/>
    <w:link w:val="TH"/>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722DF-1435-4F20-9D83-AB8993D22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3</TotalTime>
  <Pages>3</Pages>
  <Words>637</Words>
  <Characters>3632</Characters>
  <Application>Microsoft Office Word</Application>
  <DocSecurity>0</DocSecurity>
  <Lines>30</Lines>
  <Paragraphs>8</Paragraphs>
  <ScaleCrop>false</ScaleCrop>
  <Company>Huawei Technologies Co., Ltd.</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Kuangyiru (Yiru)</dc:creator>
  <cp:lastModifiedBy>China Telecom-Pei Lin</cp:lastModifiedBy>
  <cp:revision>51</cp:revision>
  <dcterms:created xsi:type="dcterms:W3CDTF">2025-08-11T08:19:00Z</dcterms:created>
  <dcterms:modified xsi:type="dcterms:W3CDTF">2025-09-29T15:34:00Z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2052-12.1.0.22529</vt:lpwstr>
  </property>
  <property fmtid="{D5CDD505-2E9C-101B-9397-08002B2CF9AE}" pid="15" name="ICV">
    <vt:lpwstr>565C82B968034E6EBAD86D5BA983E5E6_12</vt:lpwstr>
  </property>
</Properties>
</file>